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73" w:rsidRDefault="00467573" w:rsidP="003B76A1">
      <w:pPr>
        <w:shd w:val="clear" w:color="auto" w:fill="B3B3B3"/>
        <w:rPr>
          <w:rFonts w:cs="Arial"/>
          <w:b/>
          <w:sz w:val="22"/>
        </w:rPr>
      </w:pPr>
      <w:bookmarkStart w:id="0" w:name="_GoBack"/>
      <w:bookmarkEnd w:id="0"/>
      <w:r>
        <w:rPr>
          <w:rFonts w:cs="Arial"/>
          <w:b/>
          <w:sz w:val="22"/>
        </w:rPr>
        <w:t>Číslo obchodnej verejnej súťaže ID 4115</w:t>
      </w:r>
    </w:p>
    <w:p w:rsidR="00467573" w:rsidRDefault="00467573" w:rsidP="003B76A1">
      <w:pPr>
        <w:rPr>
          <w:rFonts w:cs="Arial"/>
          <w:b/>
          <w:szCs w:val="20"/>
        </w:rPr>
      </w:pPr>
    </w:p>
    <w:p w:rsidR="00467573" w:rsidRDefault="00467573" w:rsidP="003B76A1">
      <w:pPr>
        <w:rPr>
          <w:rFonts w:cs="Arial"/>
          <w:u w:val="single"/>
        </w:rPr>
      </w:pPr>
      <w:r>
        <w:rPr>
          <w:rFonts w:cs="Arial"/>
          <w:b/>
          <w:u w:val="single"/>
        </w:rPr>
        <w:t>Vyhlasovateľ súťaže</w:t>
      </w:r>
      <w:r>
        <w:rPr>
          <w:rFonts w:cs="Arial"/>
          <w:u w:val="single"/>
        </w:rPr>
        <w:t>: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>Stredoslovenská energetika - Distribúcia a.s.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>so sídlom:</w:t>
      </w:r>
      <w:r>
        <w:rPr>
          <w:rFonts w:cs="Arial"/>
        </w:rPr>
        <w:tab/>
      </w:r>
      <w:r>
        <w:rPr>
          <w:rFonts w:cs="Arial"/>
        </w:rPr>
        <w:tab/>
        <w:t>Pri Rajčianke 2927/8</w:t>
      </w:r>
    </w:p>
    <w:p w:rsidR="00467573" w:rsidRDefault="00467573" w:rsidP="003B76A1">
      <w:pPr>
        <w:ind w:left="1416" w:firstLine="708"/>
        <w:rPr>
          <w:rFonts w:cs="Arial"/>
        </w:rPr>
      </w:pPr>
      <w:r>
        <w:rPr>
          <w:rFonts w:cs="Arial"/>
        </w:rPr>
        <w:t>010 47  Žilina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>IČO: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36442151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>IČ DPH:</w:t>
      </w:r>
      <w:r>
        <w:rPr>
          <w:rFonts w:cs="Arial"/>
        </w:rPr>
        <w:tab/>
      </w:r>
      <w:r>
        <w:rPr>
          <w:rFonts w:cs="Arial"/>
        </w:rPr>
        <w:tab/>
        <w:t xml:space="preserve">SK 2022187453 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 xml:space="preserve">Bankové spojenie: </w:t>
      </w:r>
      <w:r>
        <w:rPr>
          <w:rFonts w:cs="Arial"/>
        </w:rPr>
        <w:tab/>
        <w:t xml:space="preserve">VÚB, a.s. Žilina 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>
        <w:rPr>
          <w:rFonts w:cs="Arial"/>
        </w:rPr>
        <w:tab/>
        <w:t>2143550551/0200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>IBAN: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SK44 0200 0000 0021 4355 0551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>SWIFT: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SUBASKBX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>spoločnosť zaregistrovaná v obchodnom registri na Okresnom súde Žilina, oddiel: Sa, vložka číslo: 10514/L</w:t>
      </w:r>
    </w:p>
    <w:p w:rsidR="00467573" w:rsidRPr="00FC0E51" w:rsidRDefault="00467573" w:rsidP="003B76A1">
      <w:pPr>
        <w:rPr>
          <w:rFonts w:cs="Arial"/>
          <w:color w:val="000080"/>
        </w:rPr>
      </w:pPr>
      <w:r w:rsidRPr="00FC0E51">
        <w:rPr>
          <w:rFonts w:cs="Arial"/>
        </w:rPr>
        <w:t>web stránka:</w:t>
      </w:r>
      <w:r w:rsidRPr="00FC0E51">
        <w:rPr>
          <w:rFonts w:cs="Arial"/>
          <w:color w:val="000080"/>
        </w:rPr>
        <w:tab/>
      </w:r>
      <w:r w:rsidRPr="00FC0E51">
        <w:rPr>
          <w:rFonts w:cs="Arial"/>
          <w:color w:val="000080"/>
        </w:rPr>
        <w:tab/>
      </w:r>
      <w:hyperlink r:id="rId8" w:history="1">
        <w:r w:rsidRPr="00FC0E51">
          <w:rPr>
            <w:rStyle w:val="Hypertextovprepojenie"/>
            <w:rFonts w:ascii="Arial" w:hAnsi="Arial" w:cs="Arial"/>
          </w:rPr>
          <w:t>www.sse-d.sk</w:t>
        </w:r>
      </w:hyperlink>
    </w:p>
    <w:p w:rsidR="00467573" w:rsidRDefault="00467573" w:rsidP="003B76A1">
      <w:pPr>
        <w:rPr>
          <w:rFonts w:cs="Arial"/>
        </w:rPr>
      </w:pPr>
    </w:p>
    <w:p w:rsidR="00467573" w:rsidRDefault="00467573" w:rsidP="003B76A1">
      <w:pPr>
        <w:rPr>
          <w:rFonts w:cs="Arial"/>
        </w:rPr>
      </w:pPr>
      <w:r>
        <w:rPr>
          <w:rFonts w:cs="Arial"/>
          <w:b/>
          <w:u w:val="single"/>
        </w:rPr>
        <w:t>Kontaktná osoba</w:t>
      </w:r>
      <w:r>
        <w:rPr>
          <w:rFonts w:cs="Arial"/>
          <w:b/>
        </w:rPr>
        <w:t xml:space="preserve">: </w:t>
      </w:r>
      <w:r>
        <w:rPr>
          <w:rFonts w:cs="Arial"/>
          <w:b/>
        </w:rPr>
        <w:tab/>
      </w:r>
      <w:r>
        <w:rPr>
          <w:rFonts w:cs="Arial"/>
        </w:rPr>
        <w:t xml:space="preserve">Ing. Miroslav Sabela, nákupca špecialista </w:t>
      </w:r>
    </w:p>
    <w:p w:rsidR="00467573" w:rsidRDefault="00467573" w:rsidP="003B76A1">
      <w:pPr>
        <w:ind w:left="1416" w:firstLine="708"/>
        <w:rPr>
          <w:rFonts w:cs="Arial"/>
        </w:rPr>
      </w:pPr>
      <w:r>
        <w:rPr>
          <w:rFonts w:cs="Arial"/>
        </w:rPr>
        <w:t>sekcia Nákup a skladové hospodárstvo</w:t>
      </w:r>
    </w:p>
    <w:p w:rsidR="00467573" w:rsidRDefault="00467573" w:rsidP="003B76A1">
      <w:pPr>
        <w:ind w:left="1416" w:firstLine="708"/>
        <w:rPr>
          <w:rFonts w:cs="Arial"/>
        </w:rPr>
      </w:pPr>
      <w:r>
        <w:rPr>
          <w:rFonts w:cs="Arial"/>
        </w:rPr>
        <w:t xml:space="preserve">tel. č.: </w:t>
      </w:r>
      <w:r>
        <w:rPr>
          <w:rFonts w:cs="Arial"/>
        </w:rPr>
        <w:tab/>
        <w:t xml:space="preserve">+ 421 41 519 3335, </w:t>
      </w:r>
    </w:p>
    <w:p w:rsidR="00467573" w:rsidRDefault="00467573" w:rsidP="003B76A1">
      <w:pPr>
        <w:ind w:left="1416" w:firstLine="708"/>
        <w:rPr>
          <w:rFonts w:cs="Arial"/>
        </w:rPr>
      </w:pPr>
      <w:r>
        <w:rPr>
          <w:rFonts w:cs="Arial"/>
        </w:rPr>
        <w:t xml:space="preserve">mobil: </w:t>
      </w:r>
      <w:r>
        <w:rPr>
          <w:rFonts w:cs="Arial"/>
        </w:rPr>
        <w:tab/>
        <w:t>+ 421 907 878 584</w:t>
      </w:r>
    </w:p>
    <w:p w:rsidR="00467573" w:rsidRPr="00FC0E51" w:rsidRDefault="00467573" w:rsidP="003B76A1">
      <w:pPr>
        <w:ind w:left="1416" w:firstLine="708"/>
        <w:rPr>
          <w:rFonts w:cs="Arial"/>
          <w:b/>
        </w:rPr>
      </w:pPr>
      <w:r w:rsidRPr="00FC0E51">
        <w:rPr>
          <w:rFonts w:cs="Arial"/>
        </w:rPr>
        <w:t>e-mail:</w:t>
      </w:r>
      <w:r w:rsidRPr="00FC0E51">
        <w:rPr>
          <w:rFonts w:cs="Arial"/>
          <w:b/>
        </w:rPr>
        <w:t xml:space="preserve"> </w:t>
      </w:r>
      <w:r w:rsidRPr="00FC0E51">
        <w:rPr>
          <w:rFonts w:cs="Arial"/>
          <w:b/>
        </w:rPr>
        <w:tab/>
      </w:r>
      <w:hyperlink r:id="rId9" w:history="1">
        <w:r w:rsidRPr="00FC0E51">
          <w:rPr>
            <w:rStyle w:val="Hypertextovprepojenie"/>
            <w:rFonts w:ascii="Arial" w:hAnsi="Arial" w:cs="Arial"/>
            <w:b/>
          </w:rPr>
          <w:t>miroslav.sabela@sse-d.sk</w:t>
        </w:r>
      </w:hyperlink>
    </w:p>
    <w:p w:rsidR="00467573" w:rsidRDefault="00467573" w:rsidP="003B76A1">
      <w:pPr>
        <w:ind w:left="1416" w:firstLine="708"/>
        <w:rPr>
          <w:rFonts w:cs="Arial"/>
          <w:b/>
          <w:bCs/>
          <w:color w:val="0000FF"/>
        </w:rPr>
      </w:pPr>
    </w:p>
    <w:p w:rsidR="00467573" w:rsidRDefault="00467573" w:rsidP="003B76A1">
      <w:pPr>
        <w:rPr>
          <w:rFonts w:cs="Arial"/>
        </w:rPr>
      </w:pPr>
      <w:r>
        <w:rPr>
          <w:rFonts w:cs="Arial"/>
        </w:rPr>
        <w:t xml:space="preserve">vyhlasuje v súlade s </w:t>
      </w:r>
      <w:r>
        <w:rPr>
          <w:rFonts w:cs="Arial"/>
          <w:color w:val="000000"/>
        </w:rPr>
        <w:t xml:space="preserve">ust. § 281 a násl. zákona č. 513/1991 Zb. Obchodný zákonník v znení neskorších predpisov a ust. § 29 ods. 3, 5 a 6 zákona č. 250/2012 Z.z. o regulácii v sieťových odvetviach </w:t>
      </w:r>
      <w:r>
        <w:rPr>
          <w:rFonts w:cs="Arial"/>
        </w:rPr>
        <w:t>obchodnú verejnú súťaž (ďalej len „súťaž“) na uzatvorenie zmluvy o najvhodnejší návrh na:</w:t>
      </w:r>
    </w:p>
    <w:p w:rsidR="00467573" w:rsidRDefault="00467573" w:rsidP="003B76A1">
      <w:pPr>
        <w:rPr>
          <w:rFonts w:cs="Arial"/>
          <w:b/>
        </w:rPr>
      </w:pPr>
    </w:p>
    <w:p w:rsidR="00467573" w:rsidRDefault="00467573" w:rsidP="003B76A1">
      <w:pPr>
        <w:shd w:val="clear" w:color="auto" w:fill="CCCCCC"/>
        <w:rPr>
          <w:rFonts w:cs="Arial"/>
          <w:b/>
        </w:rPr>
      </w:pPr>
      <w:r>
        <w:rPr>
          <w:rFonts w:cs="Arial"/>
          <w:b/>
        </w:rPr>
        <w:t xml:space="preserve">Púchov - Rekonštrukcia vedenia 2x110 kV č. 7781/7779 </w:t>
      </w:r>
      <w:r>
        <w:rPr>
          <w:rFonts w:cs="Arial"/>
          <w:b/>
          <w:bCs/>
          <w:color w:val="000000"/>
        </w:rPr>
        <w:t>(úprava výšky vodičov v úseku Tr Hc Ladce - Tr Continental Púchov)</w:t>
      </w:r>
    </w:p>
    <w:p w:rsidR="00467573" w:rsidRDefault="00467573" w:rsidP="003B76A1">
      <w:pPr>
        <w:rPr>
          <w:rFonts w:cs="Arial"/>
          <w:b/>
        </w:rPr>
      </w:pPr>
    </w:p>
    <w:p w:rsidR="00467573" w:rsidRDefault="00467573" w:rsidP="003B76A1">
      <w:pPr>
        <w:rPr>
          <w:rFonts w:cs="Arial"/>
          <w:b/>
        </w:rPr>
      </w:pPr>
      <w:r>
        <w:rPr>
          <w:rFonts w:cs="Arial"/>
          <w:b/>
        </w:rPr>
        <w:t xml:space="preserve">Bližší popis zákazky: </w:t>
      </w:r>
    </w:p>
    <w:p w:rsidR="00467573" w:rsidRDefault="00467573" w:rsidP="003B76A1">
      <w:pPr>
        <w:tabs>
          <w:tab w:val="left" w:pos="567"/>
          <w:tab w:val="num" w:pos="709"/>
        </w:tabs>
        <w:rPr>
          <w:rFonts w:cs="Arial"/>
          <w:b/>
          <w:bCs/>
          <w:color w:val="000000"/>
        </w:rPr>
      </w:pPr>
      <w:bookmarkStart w:id="1" w:name="OLE_LINK4"/>
      <w:bookmarkStart w:id="2" w:name="OLE_LINK3"/>
      <w:r>
        <w:rPr>
          <w:rFonts w:cs="Arial"/>
        </w:rPr>
        <w:t xml:space="preserve">Predmetom obchodnej verejnej súťaže je výber dodávateľa na realizáciu stavby - </w:t>
      </w:r>
      <w:r>
        <w:rPr>
          <w:rFonts w:cs="Arial"/>
          <w:b/>
          <w:bCs/>
          <w:color w:val="000000"/>
        </w:rPr>
        <w:t>Púchov - Rekonštrukcia vedenia 2x110kV č. 7781/7779 (úprava výšky vodičov v úseku Tr Hc Ladce - Tr Continental Púchov)</w:t>
      </w:r>
    </w:p>
    <w:p w:rsidR="00467573" w:rsidRDefault="00467573" w:rsidP="003B76A1">
      <w:pPr>
        <w:tabs>
          <w:tab w:val="left" w:pos="567"/>
          <w:tab w:val="num" w:pos="709"/>
        </w:tabs>
        <w:rPr>
          <w:rFonts w:cs="Arial"/>
          <w:bCs/>
          <w:color w:val="000000"/>
        </w:rPr>
      </w:pPr>
    </w:p>
    <w:p w:rsidR="00467573" w:rsidRDefault="00467573" w:rsidP="003B76A1">
      <w:pPr>
        <w:tabs>
          <w:tab w:val="left" w:pos="567"/>
          <w:tab w:val="num" w:pos="709"/>
        </w:tabs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Rozsah prác:</w:t>
      </w:r>
    </w:p>
    <w:p w:rsidR="00467573" w:rsidRDefault="00467573" w:rsidP="003B76A1">
      <w:pPr>
        <w:tabs>
          <w:tab w:val="left" w:pos="567"/>
          <w:tab w:val="num" w:pos="709"/>
        </w:tabs>
        <w:rPr>
          <w:rFonts w:cs="Arial"/>
          <w:color w:val="000000"/>
        </w:rPr>
      </w:pPr>
      <w:r>
        <w:rPr>
          <w:rFonts w:cs="Arial"/>
          <w:color w:val="000000"/>
        </w:rPr>
        <w:t>výmenu pôvodných vodičov 150 AlFe 6 za vodiče 2 x 3 x AAAC 239-AL3 Poplar medzi TR HC Ladce - TR Continental Púchov. Dĺžka úseku je 6,527 km</w:t>
      </w:r>
    </w:p>
    <w:p w:rsidR="00467573" w:rsidRDefault="00467573" w:rsidP="003B76A1">
      <w:pPr>
        <w:tabs>
          <w:tab w:val="left" w:pos="567"/>
          <w:tab w:val="num" w:pos="709"/>
        </w:tabs>
        <w:rPr>
          <w:rFonts w:cs="Arial"/>
          <w:color w:val="000000"/>
        </w:rPr>
      </w:pPr>
      <w:r>
        <w:rPr>
          <w:rFonts w:cs="Arial"/>
          <w:color w:val="000000"/>
        </w:rPr>
        <w:t>- výmenu pôvodných izolátorových závesov za závesy s použitím porcelánových tyčových izolátorov LP 60/22/1170 na stožiaroch</w:t>
      </w:r>
    </w:p>
    <w:p w:rsidR="00467573" w:rsidRDefault="00467573" w:rsidP="003B76A1">
      <w:pPr>
        <w:tabs>
          <w:tab w:val="left" w:pos="567"/>
          <w:tab w:val="num" w:pos="709"/>
        </w:tabs>
        <w:rPr>
          <w:rFonts w:cs="Arial"/>
          <w:color w:val="000000"/>
        </w:rPr>
      </w:pPr>
      <w:r>
        <w:rPr>
          <w:rFonts w:cs="Arial"/>
          <w:color w:val="000000"/>
        </w:rPr>
        <w:t>- montáž tlmičov vibrácii na vodiče vedenia</w:t>
      </w:r>
    </w:p>
    <w:p w:rsidR="00467573" w:rsidRDefault="00467573" w:rsidP="003B76A1">
      <w:pPr>
        <w:tabs>
          <w:tab w:val="left" w:pos="567"/>
          <w:tab w:val="num" w:pos="709"/>
        </w:tabs>
        <w:rPr>
          <w:rFonts w:cs="Arial"/>
          <w:b/>
          <w:bCs/>
          <w:color w:val="000000"/>
        </w:rPr>
      </w:pPr>
    </w:p>
    <w:p w:rsidR="00467573" w:rsidRDefault="00467573" w:rsidP="003B76A1">
      <w:pPr>
        <w:tabs>
          <w:tab w:val="left" w:pos="567"/>
          <w:tab w:val="num" w:pos="709"/>
        </w:tabs>
        <w:rPr>
          <w:rFonts w:cs="Arial"/>
        </w:rPr>
      </w:pPr>
      <w:r>
        <w:rPr>
          <w:rFonts w:cs="Arial"/>
        </w:rPr>
        <w:t>Predpokladaná doba trvania zmluvy: Zmluva o dielo do 15.09.2016</w:t>
      </w:r>
    </w:p>
    <w:bookmarkEnd w:id="1"/>
    <w:bookmarkEnd w:id="2"/>
    <w:p w:rsidR="00467573" w:rsidRDefault="00467573" w:rsidP="003B76A1">
      <w:pPr>
        <w:rPr>
          <w:rFonts w:cs="Arial"/>
          <w:b/>
        </w:rPr>
      </w:pPr>
    </w:p>
    <w:p w:rsidR="00467573" w:rsidRDefault="00467573" w:rsidP="003B76A1">
      <w:pPr>
        <w:shd w:val="clear" w:color="auto" w:fill="CCCCCC"/>
        <w:rPr>
          <w:rFonts w:cs="Arial"/>
          <w:b/>
        </w:rPr>
      </w:pPr>
      <w:r>
        <w:rPr>
          <w:rFonts w:cs="Arial"/>
          <w:b/>
        </w:rPr>
        <w:t>Podmienky súťaže:</w:t>
      </w:r>
    </w:p>
    <w:p w:rsidR="00467573" w:rsidRDefault="00467573" w:rsidP="003B76A1">
      <w:pPr>
        <w:rPr>
          <w:rFonts w:cs="Arial"/>
        </w:rPr>
      </w:pPr>
      <w:r>
        <w:rPr>
          <w:rFonts w:cs="Arial"/>
          <w:b/>
        </w:rPr>
        <w:t>Lehota na prihlásenie sa do súťaže</w:t>
      </w:r>
      <w:r>
        <w:rPr>
          <w:rFonts w:cs="Arial"/>
        </w:rPr>
        <w:t xml:space="preserve">: písomne e-mailom, u kontaktnej osoby vyhlasovateľa, do termínu </w:t>
      </w:r>
      <w:r>
        <w:rPr>
          <w:rFonts w:cs="Arial"/>
          <w:b/>
        </w:rPr>
        <w:t>11.03.2016 do 10,00 hod.</w:t>
      </w:r>
      <w:r>
        <w:rPr>
          <w:rFonts w:cs="Arial"/>
        </w:rPr>
        <w:t xml:space="preserve"> Žiadosť o prihlásenie, spoločne s ostatnými požadovanými dokumentmi je potrebné doručiť elektronicky, rozhodujúci je termín doručenia žiadosti. Žiadosti doručené po tomto termíne vyhlasovateľ nebude akceptovať. Žiadosť musí byť podpísaná osobou oprávnenou konať v mene navrhovateľa.</w:t>
      </w:r>
    </w:p>
    <w:p w:rsidR="00467573" w:rsidRDefault="00467573" w:rsidP="003B76A1">
      <w:pPr>
        <w:rPr>
          <w:rFonts w:cs="Arial"/>
        </w:rPr>
      </w:pPr>
    </w:p>
    <w:p w:rsidR="00467573" w:rsidRDefault="00467573" w:rsidP="003B76A1">
      <w:pPr>
        <w:rPr>
          <w:rFonts w:cs="Arial"/>
        </w:rPr>
      </w:pPr>
      <w:r>
        <w:rPr>
          <w:rFonts w:cs="Arial"/>
        </w:rPr>
        <w:t>Podmienky súťaže sú stanovené v tomto oznámení, obchodných podmienkach a  súťažných podkladoch. Súťažné podklady budú odoslané navrhovateľovi elektronicky, po ukončení termínu na prihlásenie sa do súťaže a splnení obchodných podmienok podľa bodu 3.5 a splnení podmienok uvedených v tomto oznámení (pozri nižšie definované Požadované dokumenty).</w:t>
      </w:r>
    </w:p>
    <w:p w:rsidR="00467573" w:rsidRDefault="00467573" w:rsidP="003B76A1">
      <w:pPr>
        <w:rPr>
          <w:rFonts w:cs="Arial"/>
        </w:rPr>
      </w:pPr>
    </w:p>
    <w:p w:rsidR="00467573" w:rsidRDefault="00467573" w:rsidP="003B76A1">
      <w:pPr>
        <w:shd w:val="clear" w:color="auto" w:fill="CCCCCC"/>
        <w:rPr>
          <w:rFonts w:cs="Arial"/>
          <w:b/>
        </w:rPr>
      </w:pPr>
      <w:r>
        <w:rPr>
          <w:rFonts w:cs="Arial"/>
          <w:b/>
        </w:rPr>
        <w:t>Požadované dokumenty:</w:t>
      </w:r>
    </w:p>
    <w:p w:rsidR="00467573" w:rsidRDefault="00467573" w:rsidP="003B76A1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>
        <w:rPr>
          <w:rFonts w:cs="Arial"/>
        </w:rPr>
        <w:t>Prihláška s uvedením identifikačných, kontaktných údajov navrhovateľa.</w:t>
      </w:r>
    </w:p>
    <w:p w:rsidR="00467573" w:rsidRDefault="00467573" w:rsidP="003B76A1">
      <w:pPr>
        <w:ind w:left="708"/>
        <w:rPr>
          <w:rFonts w:cs="Arial"/>
        </w:rPr>
      </w:pPr>
      <w:r>
        <w:rPr>
          <w:rFonts w:cs="Arial"/>
        </w:rPr>
        <w:lastRenderedPageBreak/>
        <w:t>Prihláška musí byť podpísaná štatutárnym orgánom navrhovateľa alebo členom štatutárneho orgánu navrhovateľa alebo osobou oprávnenou konať v mene navrhovateľa v záväzkových vzťahoch vo veci vyhlásenej súťaže. Vyhlasovateľ je oprávnený požadovať od navrhovateľa preukázanie splnomocnenia alebo oprávnenia na konanie.</w:t>
      </w:r>
    </w:p>
    <w:p w:rsidR="00467573" w:rsidRDefault="00467573" w:rsidP="003B76A1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>
        <w:rPr>
          <w:rFonts w:cs="Arial"/>
        </w:rPr>
        <w:t>Čestné prehlásenie podľa bodu 3.6 Obchodných podmienok obchodnej verejnej súťaže uverejnených na</w:t>
      </w:r>
    </w:p>
    <w:p w:rsidR="00467573" w:rsidRDefault="00467573" w:rsidP="003B76A1">
      <w:pPr>
        <w:tabs>
          <w:tab w:val="num" w:pos="720"/>
        </w:tabs>
        <w:ind w:left="720" w:hanging="360"/>
        <w:rPr>
          <w:rFonts w:cs="Arial"/>
        </w:rPr>
      </w:pPr>
      <w:r w:rsidRPr="003B76A1">
        <w:rPr>
          <w:rFonts w:cs="Arial"/>
          <w:color w:val="0000FF"/>
        </w:rPr>
        <w:tab/>
      </w:r>
      <w:hyperlink r:id="rId10" w:history="1">
        <w:r w:rsidRPr="003B76A1">
          <w:rPr>
            <w:rStyle w:val="Hypertextovprepojenie"/>
            <w:rFonts w:ascii="Arial" w:hAnsi="Arial" w:cs="Arial"/>
          </w:rPr>
          <w:t>http://www.sse.sk/portal/page/portal/SSE_Distribucia/Spravy/dokumenty_na_stiahnutie/20150414%20SSE_D_Obchodne_podmienky_OVS_doplnene_VOP_nakup_tovaru_0.doc</w:t>
        </w:r>
      </w:hyperlink>
      <w:r w:rsidRPr="003B76A1">
        <w:rPr>
          <w:rFonts w:cs="Arial"/>
          <w:color w:val="0000FF"/>
        </w:rPr>
        <w:t xml:space="preserve"> </w:t>
      </w:r>
      <w:r w:rsidRPr="003B76A1">
        <w:rPr>
          <w:rFonts w:cs="Arial"/>
        </w:rPr>
        <w:t>podpísané štatutárnym orgánom</w:t>
      </w:r>
      <w:r>
        <w:rPr>
          <w:rFonts w:cs="Arial"/>
        </w:rPr>
        <w:t xml:space="preserve"> alebo členom štatutárneho orgánu navrhovateľa alebo osobou oprávnenou konať v mene navrhovateľa v záväzkových vzťahoch vo veci vyhlásenej súťaže.</w:t>
      </w:r>
      <w:r>
        <w:t xml:space="preserve"> </w:t>
      </w:r>
      <w:r>
        <w:rPr>
          <w:rFonts w:cs="Arial"/>
        </w:rPr>
        <w:t>Vyhlasovateľ je oprávnený požadovať od navrhovateľa preukázanie splnomocnenia alebo oprávnenia na konanie.</w:t>
      </w:r>
    </w:p>
    <w:p w:rsidR="00467573" w:rsidRDefault="00467573" w:rsidP="003B76A1">
      <w:pPr>
        <w:numPr>
          <w:ilvl w:val="0"/>
          <w:numId w:val="1"/>
        </w:numPr>
      </w:pPr>
      <w:r>
        <w:t>Čestné prehlásenie, že navrhovateľ sa zaväzuje v prípade odstúpenia od predloženého návrhu v lehote viazanosti návrhov  uhradiť vyhlasovateľovi vyčíslenú sankciu vo výške 5 % z  cenového návrhu.</w:t>
      </w:r>
    </w:p>
    <w:p w:rsidR="00467573" w:rsidRDefault="00467573" w:rsidP="003B76A1">
      <w:pPr>
        <w:numPr>
          <w:ilvl w:val="0"/>
          <w:numId w:val="1"/>
        </w:numPr>
        <w:rPr>
          <w:rFonts w:cs="Arial"/>
        </w:rPr>
      </w:pPr>
      <w:r>
        <w:t>Obchodné podmienky Obchodnej verejnej súťaže podpísané štatutárnym orgánom alebo členom štatutárneho orgánu navrhovateľa alebo osobou oprávnenou konať v mene navrhovateľa.</w:t>
      </w:r>
    </w:p>
    <w:p w:rsidR="00467573" w:rsidRDefault="00467573" w:rsidP="003B76A1">
      <w:pPr>
        <w:numPr>
          <w:ilvl w:val="0"/>
          <w:numId w:val="1"/>
        </w:numPr>
        <w:tabs>
          <w:tab w:val="num" w:pos="900"/>
          <w:tab w:val="num" w:pos="1800"/>
        </w:tabs>
        <w:rPr>
          <w:rFonts w:cs="Arial"/>
        </w:rPr>
      </w:pPr>
      <w:r>
        <w:rPr>
          <w:rFonts w:cs="Arial"/>
        </w:rPr>
        <w:t xml:space="preserve">Predložiť zoznam referencií v rozsahu - minimálny počet 3 referencie, pričom aspoň 1 z referencií musí byť minimálne v objeme 100 000 EUR v štruktúre: </w:t>
      </w:r>
      <w:r>
        <w:rPr>
          <w:rFonts w:cs="Arial"/>
        </w:rPr>
        <w:tab/>
      </w:r>
    </w:p>
    <w:tbl>
      <w:tblPr>
        <w:tblW w:w="8396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080"/>
        <w:gridCol w:w="939"/>
        <w:gridCol w:w="1710"/>
        <w:gridCol w:w="3402"/>
      </w:tblGrid>
      <w:tr w:rsidR="00467573" w:rsidTr="00B06F0D">
        <w:tc>
          <w:tcPr>
            <w:tcW w:w="1265" w:type="dxa"/>
          </w:tcPr>
          <w:p w:rsidR="00467573" w:rsidRPr="00B06F0D" w:rsidRDefault="00467573">
            <w:pPr>
              <w:rPr>
                <w:rFonts w:cs="Arial"/>
              </w:rPr>
            </w:pPr>
            <w:r w:rsidRPr="00B06F0D">
              <w:rPr>
                <w:rFonts w:cs="Arial"/>
              </w:rPr>
              <w:t>Popis zákazky</w:t>
            </w:r>
          </w:p>
        </w:tc>
        <w:tc>
          <w:tcPr>
            <w:tcW w:w="1080" w:type="dxa"/>
          </w:tcPr>
          <w:p w:rsidR="00467573" w:rsidRPr="00B06F0D" w:rsidRDefault="00467573">
            <w:pPr>
              <w:rPr>
                <w:rFonts w:cs="Arial"/>
              </w:rPr>
            </w:pPr>
            <w:r w:rsidRPr="00B06F0D">
              <w:rPr>
                <w:rFonts w:cs="Arial"/>
              </w:rPr>
              <w:t xml:space="preserve">Termín realizácie     </w:t>
            </w:r>
          </w:p>
        </w:tc>
        <w:tc>
          <w:tcPr>
            <w:tcW w:w="939" w:type="dxa"/>
          </w:tcPr>
          <w:p w:rsidR="00467573" w:rsidRPr="00B06F0D" w:rsidRDefault="00467573">
            <w:pPr>
              <w:rPr>
                <w:rFonts w:cs="Arial"/>
              </w:rPr>
            </w:pPr>
            <w:r w:rsidRPr="00B06F0D">
              <w:rPr>
                <w:rFonts w:cs="Arial"/>
              </w:rPr>
              <w:t>Objem zákazky</w:t>
            </w:r>
          </w:p>
        </w:tc>
        <w:tc>
          <w:tcPr>
            <w:tcW w:w="1710" w:type="dxa"/>
          </w:tcPr>
          <w:p w:rsidR="00467573" w:rsidRPr="00B06F0D" w:rsidRDefault="00467573">
            <w:pPr>
              <w:rPr>
                <w:rFonts w:cs="Arial"/>
              </w:rPr>
            </w:pPr>
            <w:r w:rsidRPr="00B06F0D">
              <w:rPr>
                <w:rFonts w:cs="Arial"/>
              </w:rPr>
              <w:t>Objednávateľ</w:t>
            </w:r>
          </w:p>
        </w:tc>
        <w:tc>
          <w:tcPr>
            <w:tcW w:w="3402" w:type="dxa"/>
          </w:tcPr>
          <w:p w:rsidR="00467573" w:rsidRPr="00B06F0D" w:rsidRDefault="00467573">
            <w:pPr>
              <w:rPr>
                <w:rFonts w:cs="Arial"/>
              </w:rPr>
            </w:pPr>
            <w:r w:rsidRPr="00B06F0D">
              <w:rPr>
                <w:rFonts w:cs="Arial"/>
              </w:rPr>
              <w:t xml:space="preserve">Kontaktná osoba u objednávateľa, </w:t>
            </w:r>
          </w:p>
          <w:p w:rsidR="00467573" w:rsidRPr="00B06F0D" w:rsidRDefault="00467573">
            <w:pPr>
              <w:rPr>
                <w:rFonts w:cs="Arial"/>
              </w:rPr>
            </w:pPr>
            <w:r w:rsidRPr="00B06F0D">
              <w:rPr>
                <w:rFonts w:cs="Arial"/>
              </w:rPr>
              <w:t>tel. č. na overenie referencií</w:t>
            </w:r>
          </w:p>
        </w:tc>
      </w:tr>
      <w:tr w:rsidR="00467573" w:rsidTr="00B06F0D">
        <w:trPr>
          <w:trHeight w:val="359"/>
        </w:trPr>
        <w:tc>
          <w:tcPr>
            <w:tcW w:w="1265" w:type="dxa"/>
          </w:tcPr>
          <w:p w:rsidR="00467573" w:rsidRPr="00B06F0D" w:rsidRDefault="00467573">
            <w:pPr>
              <w:rPr>
                <w:rFonts w:cs="Arial"/>
                <w:color w:val="FF0000"/>
              </w:rPr>
            </w:pPr>
          </w:p>
        </w:tc>
        <w:tc>
          <w:tcPr>
            <w:tcW w:w="1080" w:type="dxa"/>
          </w:tcPr>
          <w:p w:rsidR="00467573" w:rsidRPr="00B06F0D" w:rsidRDefault="00467573">
            <w:pPr>
              <w:rPr>
                <w:rFonts w:cs="Arial"/>
                <w:color w:val="FF0000"/>
              </w:rPr>
            </w:pPr>
          </w:p>
        </w:tc>
        <w:tc>
          <w:tcPr>
            <w:tcW w:w="939" w:type="dxa"/>
          </w:tcPr>
          <w:p w:rsidR="00467573" w:rsidRPr="00B06F0D" w:rsidRDefault="00467573">
            <w:pPr>
              <w:rPr>
                <w:rFonts w:cs="Arial"/>
                <w:color w:val="FF0000"/>
              </w:rPr>
            </w:pPr>
          </w:p>
        </w:tc>
        <w:tc>
          <w:tcPr>
            <w:tcW w:w="1710" w:type="dxa"/>
          </w:tcPr>
          <w:p w:rsidR="00467573" w:rsidRPr="00B06F0D" w:rsidRDefault="00467573">
            <w:pPr>
              <w:rPr>
                <w:rFonts w:cs="Arial"/>
                <w:color w:val="FF0000"/>
              </w:rPr>
            </w:pPr>
          </w:p>
        </w:tc>
        <w:tc>
          <w:tcPr>
            <w:tcW w:w="3402" w:type="dxa"/>
          </w:tcPr>
          <w:p w:rsidR="00467573" w:rsidRPr="00B06F0D" w:rsidRDefault="00467573">
            <w:pPr>
              <w:rPr>
                <w:rFonts w:cs="Arial"/>
                <w:color w:val="FF0000"/>
              </w:rPr>
            </w:pPr>
          </w:p>
        </w:tc>
      </w:tr>
    </w:tbl>
    <w:p w:rsidR="00467573" w:rsidRDefault="00467573" w:rsidP="003B76A1">
      <w:pPr>
        <w:tabs>
          <w:tab w:val="num" w:pos="900"/>
          <w:tab w:val="num" w:pos="1800"/>
        </w:tabs>
        <w:ind w:left="709"/>
        <w:rPr>
          <w:rFonts w:cs="Arial"/>
          <w:szCs w:val="20"/>
        </w:rPr>
      </w:pPr>
      <w:r>
        <w:rPr>
          <w:rFonts w:cs="Arial"/>
        </w:rPr>
        <w:t>Rozsah referencií musí byť na zákazky rovnakého prípadne podobného charakteru ako je predmet Obchodnej verejnej súťaže realizovaných od r. 2013 ÷ 2015 na území EÚ. Referencie musia obsahovať popis zákazky, termín realizácie, objem zákazky, objednávateľa a kontaktnú osobu u objednávateľa vrátane mob. č. na overenie referencií.</w:t>
      </w:r>
    </w:p>
    <w:p w:rsidR="00467573" w:rsidRDefault="00467573" w:rsidP="003B76A1">
      <w:pPr>
        <w:numPr>
          <w:ilvl w:val="0"/>
          <w:numId w:val="1"/>
        </w:numPr>
        <w:rPr>
          <w:rFonts w:cs="Arial"/>
        </w:rPr>
      </w:pPr>
      <w:r>
        <w:rPr>
          <w:rFonts w:cs="Arial"/>
          <w:color w:val="000000"/>
        </w:rPr>
        <w:t xml:space="preserve">Zoznam osôb a ich odbornú kvalifikáciu na realizovanie predmetu výberu. Uchádzač predloží zoznam osôb, ktoré budú realizovať uvedený predmet s uvedením mena, priezviska a kvalifikácie z pohľadu Vyhlášky č. 508/2009 Z. z. Pre overenie uvedených skutočností priloží kópiu osvedčenia. </w:t>
      </w:r>
    </w:p>
    <w:p w:rsidR="00467573" w:rsidRDefault="00467573" w:rsidP="003B76A1">
      <w:pPr>
        <w:ind w:left="709"/>
        <w:rPr>
          <w:rFonts w:cs="Arial"/>
        </w:rPr>
      </w:pPr>
      <w:r>
        <w:rPr>
          <w:rFonts w:cs="Arial"/>
          <w:color w:val="000000"/>
        </w:rPr>
        <w:t>Z toho aspoň jeden pracovník uchádzača musí predložiť doklad o kvalifikačnej skúške v zmysle § 23</w:t>
      </w:r>
      <w:r>
        <w:rPr>
          <w:rFonts w:cs="Arial"/>
        </w:rPr>
        <w:t xml:space="preserve"> </w:t>
      </w:r>
      <w:r>
        <w:rPr>
          <w:rFonts w:cs="Arial"/>
          <w:color w:val="000000"/>
        </w:rPr>
        <w:t>Vyhlášky č. 508/2009 Z. z. a v akom je pracovnoprávnom vzťahu k uchádzačovi a aspoň jeden pracovník uchádzača musí predložiť doklad o kvalifikačnej skúške v zmysle § 24 Vyhlášky č. 508/2009 Z. z. nad 1 000 V.</w:t>
      </w:r>
    </w:p>
    <w:p w:rsidR="00467573" w:rsidRDefault="00467573" w:rsidP="003B76A1">
      <w:pPr>
        <w:numPr>
          <w:ilvl w:val="0"/>
          <w:numId w:val="1"/>
        </w:numPr>
        <w:rPr>
          <w:rFonts w:cs="Arial"/>
        </w:rPr>
      </w:pPr>
      <w:r>
        <w:rPr>
          <w:rFonts w:cs="Arial"/>
          <w:color w:val="000000"/>
        </w:rPr>
        <w:t>Uchádzač predloží kópiu platného dokladu o oprávnení na činnosť na vyhradených technických zariadeniach elektrických: oprava a údržba, montáž a rekonštrukcia podľa Zákona 124/2006 Z. z.</w:t>
      </w:r>
    </w:p>
    <w:p w:rsidR="00467573" w:rsidRDefault="00467573" w:rsidP="003B76A1">
      <w:pPr>
        <w:numPr>
          <w:ilvl w:val="0"/>
          <w:numId w:val="1"/>
        </w:numPr>
        <w:rPr>
          <w:rFonts w:cs="Arial"/>
        </w:rPr>
      </w:pPr>
      <w:r>
        <w:rPr>
          <w:rFonts w:cs="Arial"/>
          <w:color w:val="000000"/>
        </w:rPr>
        <w:t>Doklad o odbornej spôsobilosti vydaný SKSI v zmysle Zákona č. 138/1992 Zb. o autorizovaných architektoch a autorizovaných stavebných inžinieroch v znení neskorších predpisov. Uchádzač predloží kópiu autorizačného osvedčenia s originálnym podpisom odborne spôsobilej osoby pre činnosť, ktorá je pri realizácii predmetnej stavby požadovaná (v rozsahu minimálne stavbyvedúci s odborným zameraním: technické, technologické a energetické vybavenie stavieb).</w:t>
      </w:r>
    </w:p>
    <w:p w:rsidR="00467573" w:rsidRDefault="00467573" w:rsidP="003B76A1">
      <w:pPr>
        <w:numPr>
          <w:ilvl w:val="0"/>
          <w:numId w:val="1"/>
        </w:numPr>
        <w:tabs>
          <w:tab w:val="num" w:pos="900"/>
          <w:tab w:val="num" w:pos="1800"/>
        </w:tabs>
        <w:rPr>
          <w:rFonts w:cs="Arial"/>
        </w:rPr>
      </w:pPr>
      <w:r>
        <w:rPr>
          <w:rFonts w:cs="Arial"/>
        </w:rPr>
        <w:t xml:space="preserve">Oprávnenie na výkon činnosti odborné prehliadky odborné skúšky na vyhradených technických zariadeniach elektrických v zmysle zákona 124/2006 Z.z.    </w:t>
      </w:r>
    </w:p>
    <w:p w:rsidR="00467573" w:rsidRDefault="00467573" w:rsidP="003B76A1">
      <w:pPr>
        <w:numPr>
          <w:ilvl w:val="0"/>
          <w:numId w:val="1"/>
        </w:numPr>
        <w:rPr>
          <w:rFonts w:cs="Arial"/>
        </w:rPr>
      </w:pPr>
      <w:r>
        <w:rPr>
          <w:rFonts w:cs="Arial"/>
          <w:color w:val="000000"/>
        </w:rPr>
        <w:t xml:space="preserve">Uchádzač predloží spracovaný bezpečnostný pracovný postup týkajúci sa predmetu výzvy - </w:t>
      </w:r>
      <w:r>
        <w:rPr>
          <w:rFonts w:cs="Arial"/>
          <w:b/>
          <w:color w:val="000000"/>
          <w:u w:val="single"/>
        </w:rPr>
        <w:t>práce na dvojitom vedení, pri zapnutom jednom poťahu</w:t>
      </w:r>
      <w:r>
        <w:rPr>
          <w:rFonts w:cs="Arial"/>
          <w:color w:val="000000"/>
        </w:rPr>
        <w:t xml:space="preserve"> - k zabezpečeniu bezpečnosti a ochrany zdravia pri práci v zmysle Zákona 124/2006 Z.z.</w:t>
      </w:r>
    </w:p>
    <w:p w:rsidR="00467573" w:rsidRDefault="00467573" w:rsidP="003B76A1">
      <w:pPr>
        <w:numPr>
          <w:ilvl w:val="0"/>
          <w:numId w:val="1"/>
        </w:numPr>
        <w:tabs>
          <w:tab w:val="num" w:pos="1500"/>
        </w:tabs>
        <w:rPr>
          <w:rFonts w:cs="Arial"/>
        </w:rPr>
      </w:pPr>
      <w:r>
        <w:rPr>
          <w:rFonts w:cs="Arial"/>
        </w:rPr>
        <w:t xml:space="preserve">Platné poistenie zodpovednosti na sumu min. 100 000 EUR za prípadné škody spôsobené pri výkone činnosti, ktoré vyplývajú z predmetu obstarávania (kópia zmluvy alebo čestné prehlásenie, že v prípade úspechu v OVS uzatvorí navrhovateľ takéto poistenie a ešte pred uzavretím zmluvy predloží toto poistenie vyhlasovateľovi). </w:t>
      </w:r>
    </w:p>
    <w:p w:rsidR="00467573" w:rsidRDefault="00467573" w:rsidP="003B76A1">
      <w:pPr>
        <w:numPr>
          <w:ilvl w:val="0"/>
          <w:numId w:val="1"/>
        </w:numPr>
        <w:rPr>
          <w:rFonts w:cs="Arial"/>
        </w:rPr>
      </w:pPr>
      <w:r>
        <w:rPr>
          <w:rFonts w:cs="Arial"/>
          <w:color w:val="000000"/>
        </w:rPr>
        <w:t>Uchádzač predloží zoznam dopravnej a mechanizačnej techniky potrebnej na vykonanie predmetu výzvy podpísaný oprávnenou osobou uchádzača (traktor, žeriav, nákladné auto, súprava brzda - navijak na rozviňovanie fázových vodičov VVN vedenia - resp. dohodu o prenájme .....)</w:t>
      </w:r>
    </w:p>
    <w:p w:rsidR="00467573" w:rsidRDefault="00467573" w:rsidP="003B76A1">
      <w:pPr>
        <w:numPr>
          <w:ilvl w:val="0"/>
          <w:numId w:val="1"/>
        </w:numPr>
        <w:jc w:val="left"/>
      </w:pPr>
      <w:r>
        <w:t>Platný certifikát systému manažérstva kvality  výrobcu alebo potvrdenie vykonania opatrení na                    zabezpečenie kvality - STN EN ISO 9001</w:t>
      </w:r>
    </w:p>
    <w:p w:rsidR="00467573" w:rsidRDefault="00467573" w:rsidP="003B76A1">
      <w:pPr>
        <w:numPr>
          <w:ilvl w:val="0"/>
          <w:numId w:val="1"/>
        </w:numPr>
        <w:jc w:val="left"/>
      </w:pPr>
      <w:r>
        <w:rPr>
          <w:rFonts w:cs="Arial"/>
        </w:rPr>
        <w:t>Platný certifikát systému manažérstva bezpečnosti a ochrany zdravia pri práci v zmysle normy - STN EN ISO 18001 alebo potvrdenie vykonania opatrení na zabezpečenie BOZP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lastRenderedPageBreak/>
        <w:t>Súťažné podklady budú zaslané navrhovateľom, ktorí splnili podmienky prihlasovacieho kola a predložili všetky požadované dokumenty.</w:t>
      </w:r>
    </w:p>
    <w:p w:rsidR="00467573" w:rsidRDefault="00467573" w:rsidP="003B76A1">
      <w:pPr>
        <w:rPr>
          <w:rFonts w:cs="Arial"/>
          <w:b/>
        </w:rPr>
      </w:pPr>
      <w:r>
        <w:rPr>
          <w:rFonts w:cs="Arial"/>
          <w:b/>
        </w:rPr>
        <w:t>Ďalšie podmienky obchodnej verejnej súťaže: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>V ďalšom kole výberového konania budeme požadovať doručenie dokumentov v zmysle súťažných podkladov.</w:t>
      </w:r>
    </w:p>
    <w:p w:rsidR="00467573" w:rsidRDefault="00467573" w:rsidP="003B76A1">
      <w:pPr>
        <w:rPr>
          <w:rFonts w:cs="Arial"/>
          <w:b/>
        </w:rPr>
      </w:pPr>
    </w:p>
    <w:p w:rsidR="00467573" w:rsidRDefault="00467573" w:rsidP="003B76A1">
      <w:pPr>
        <w:rPr>
          <w:rFonts w:cs="Arial"/>
          <w:b/>
        </w:rPr>
      </w:pPr>
      <w:r>
        <w:rPr>
          <w:rFonts w:cs="Arial"/>
          <w:b/>
        </w:rPr>
        <w:t xml:space="preserve">Lehota, spôsob a miesto podávania návrhu: </w:t>
      </w:r>
      <w:r>
        <w:rPr>
          <w:rFonts w:cs="Arial"/>
        </w:rPr>
        <w:t>v zmysle súťažných podkladov.</w:t>
      </w:r>
    </w:p>
    <w:p w:rsidR="00467573" w:rsidRDefault="00467573" w:rsidP="003B76A1">
      <w:pPr>
        <w:rPr>
          <w:rFonts w:cs="Arial"/>
          <w:b/>
        </w:rPr>
      </w:pPr>
    </w:p>
    <w:p w:rsidR="00467573" w:rsidRDefault="00467573" w:rsidP="003B76A1">
      <w:pPr>
        <w:ind w:left="4245" w:hanging="4245"/>
        <w:rPr>
          <w:rFonts w:cs="Arial"/>
        </w:rPr>
      </w:pPr>
      <w:r>
        <w:rPr>
          <w:rFonts w:cs="Arial"/>
          <w:b/>
        </w:rPr>
        <w:t>Lehota na oznámenie vybraného návrhu:</w:t>
      </w:r>
      <w:r>
        <w:rPr>
          <w:rFonts w:cs="Arial"/>
        </w:rPr>
        <w:t xml:space="preserve"> </w:t>
      </w:r>
      <w:r>
        <w:rPr>
          <w:rFonts w:cs="Arial"/>
        </w:rPr>
        <w:tab/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 xml:space="preserve">Do 30-tich kalendárnych dní odo dňa vyhodnotenia súťaže. Súťaž bude vyhodnotená bez účasti navrhovateľov. </w:t>
      </w:r>
    </w:p>
    <w:p w:rsidR="00467573" w:rsidRDefault="00467573" w:rsidP="003B76A1">
      <w:pPr>
        <w:rPr>
          <w:rFonts w:cs="Arial"/>
          <w:b/>
        </w:rPr>
      </w:pPr>
    </w:p>
    <w:p w:rsidR="00467573" w:rsidRDefault="00467573" w:rsidP="003B76A1">
      <w:pPr>
        <w:rPr>
          <w:rFonts w:cs="Arial"/>
          <w:b/>
        </w:rPr>
      </w:pPr>
      <w:r>
        <w:rPr>
          <w:rFonts w:cs="Arial"/>
          <w:b/>
        </w:rPr>
        <w:t>Lehota viazanosti návrhov:</w:t>
      </w:r>
    </w:p>
    <w:p w:rsidR="00467573" w:rsidRDefault="00467573" w:rsidP="003B76A1">
      <w:pPr>
        <w:rPr>
          <w:rFonts w:cs="Arial"/>
        </w:rPr>
      </w:pPr>
      <w:r>
        <w:rPr>
          <w:rFonts w:cs="Arial"/>
        </w:rPr>
        <w:t xml:space="preserve">Začína plynúť uplynutím lehoty na predkladanie návrhov a končí uzavretím písomnej zmluvy s úspešným navrhovateľom alebo doručením oznámenia o odmietnutí návrhu navrhovateľa alebo doručením oznámenia o zrušení súťaže navrhovateľom alebo v zmysle súťažných podkladov. </w:t>
      </w:r>
    </w:p>
    <w:p w:rsidR="00467573" w:rsidRDefault="00467573" w:rsidP="003B76A1">
      <w:pPr>
        <w:ind w:left="360"/>
        <w:rPr>
          <w:rFonts w:cs="Arial"/>
          <w:i/>
        </w:rPr>
      </w:pPr>
    </w:p>
    <w:p w:rsidR="00467573" w:rsidRDefault="00467573" w:rsidP="003B76A1">
      <w:r>
        <w:rPr>
          <w:rFonts w:cs="Arial"/>
          <w:b/>
        </w:rPr>
        <w:t>Práva vyhradené vyhlasovateľom súťaže:</w:t>
      </w:r>
      <w:r>
        <w:rPr>
          <w:rFonts w:cs="Arial"/>
        </w:rPr>
        <w:t xml:space="preserve"> sú uvedené v obchodných podmienkach.</w:t>
      </w:r>
      <w:r>
        <w:rPr>
          <w:rFonts w:cs="Arial"/>
          <w:i/>
          <w:u w:val="single"/>
        </w:rPr>
        <w:t xml:space="preserve"> </w:t>
      </w:r>
    </w:p>
    <w:p w:rsidR="00467573" w:rsidRDefault="00467573">
      <w:pPr>
        <w:spacing w:after="200" w:line="276" w:lineRule="auto"/>
      </w:pPr>
    </w:p>
    <w:p w:rsidR="00467573" w:rsidRDefault="00467573"/>
    <w:sectPr w:rsidR="00467573" w:rsidSect="00211EB4">
      <w:footerReference w:type="default" r:id="rId11"/>
      <w:headerReference w:type="first" r:id="rId12"/>
      <w:footerReference w:type="first" r:id="rId13"/>
      <w:pgSz w:w="11906" w:h="16838" w:code="9"/>
      <w:pgMar w:top="1985" w:right="1134" w:bottom="1758" w:left="1134" w:header="851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CCA" w:rsidRDefault="00E36CCA" w:rsidP="00E13779">
      <w:r>
        <w:separator/>
      </w:r>
    </w:p>
  </w:endnote>
  <w:endnote w:type="continuationSeparator" w:id="0">
    <w:p w:rsidR="00E36CCA" w:rsidRDefault="00E36CCA" w:rsidP="00E1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73" w:rsidRDefault="0041080C" w:rsidP="00211EB4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8752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6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7" name="AutoShape 12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573" w:rsidRPr="00395BD3" w:rsidRDefault="00467573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467573" w:rsidRPr="00395BD3" w:rsidRDefault="00467573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IČO: 36 442 151, IČ DPH: SK2022187453, DIČ: 2022187453, Číslo účtu: 2143550551/0200, BIC: SUBASKBX</w:t>
                            </w:r>
                          </w:p>
                          <w:p w:rsidR="00467573" w:rsidRPr="00395BD3" w:rsidRDefault="00467573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467573" w:rsidRPr="00454FF7" w:rsidRDefault="00467573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9" name="Rectangle 14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26" style="position:absolute;left:0;text-align:left;margin-left:0;margin-top:768.3pt;width:481.9pt;height:59.9pt;z-index:251658752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7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1D0MYAAADaAAAADwAAAGRycy9kb3ducmV2LnhtbESPQUvDQBSE70L/w/IKvYjdWFFL2m2x&#10;hWJPLdaqeHtkX5No9m3IPpP037sFweMwM98w82XvKtVSE0rPBm7HCSjizNuScwPH183NFFQQZIuV&#10;ZzJwpgDLxeBqjqn1Hb9Qe5BcRQiHFA0UInWqdcgKchjGviaO3sk3DiXKJte2wS7CXaUnSfKgHZYc&#10;FwqsaV1Q9n34cQY+v7qjyLS/vrvft2/JqnrevO8+jBkN+6cZKKFe/sN/7a018AiXK/EG6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bNQ9DGAAAA2gAAAA8AAAAAAAAA&#10;AAAAAAAAoQIAAGRycy9kb3ducmV2LnhtbFBLBQYAAAAABAAEAPkAAACUAwAAAAA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8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zjq78A&#10;AADaAAAADwAAAGRycy9kb3ducmV2LnhtbERPTYvCMBC9C/6HMII3TVVcSzWKyAoLelkr6HFoxrba&#10;TEqTbbv/3hwW9vh435tdbyrRUuNKywpm0wgEcWZ1ybmCa3qcxCCcR9ZYWSYFv+Rgtx0ONpho2/E3&#10;tRefixDCLkEFhfd1IqXLCjLoprYmDtzDNgZ9gE0udYNdCDeVnEfRhzRYcmgosKZDQdnr8mMU9PHi&#10;fn52q5bbU5ym+edi+fA3pcajfr8G4an3/+I/95dWELaGK+EG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nOOrvwAAANoAAAAPAAAAAAAAAAAAAAAAAJgCAABkcnMvZG93bnJl&#10;di54bWxQSwUGAAAAAAQABAD1AAAAhAMAAAAA&#10;" filled="f" stroked="f" strokecolor="#c41a28">
                <v:textbox inset="0,0,0,0">
                  <w:txbxContent>
                    <w:p w:rsidR="00467573" w:rsidRPr="00395BD3" w:rsidRDefault="00467573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467573" w:rsidRPr="00395BD3" w:rsidRDefault="00467573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IČO: 36 442 151, IČ DPH: SK2022187453, DIČ: 2022187453, Číslo účtu: 2143550551/0200, BIC: SUBASKBX</w:t>
                      </w:r>
                    </w:p>
                    <w:p w:rsidR="00467573" w:rsidRPr="00395BD3" w:rsidRDefault="00467573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467573" w:rsidRPr="00454FF7" w:rsidRDefault="00467573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4" o:spid="_x0000_s1029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n98QA&#10;AADaAAAADwAAAGRycy9kb3ducmV2LnhtbESPT2vCQBTE74LfYXmFXopuLFRq6ipBCLb2ZKqIt0f2&#10;NQnNvg3ZzZ9+e7dQ8DjMzG+Y9XY0teipdZVlBYt5BII4t7riQsHpK529gnAeWWNtmRT8koPtZjpZ&#10;Y6ztwEfqM1+IAGEXo4LS+yaW0uUlGXRz2xAH79u2Bn2QbSF1i0OAm1o+R9FSGqw4LJTY0K6k/Cfr&#10;jIKl+zhlh6eVw2Q/nvHz8pJ2w1Wpx4cxeQPhafT38H/7XStYwd+VcAPk5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xp/f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  <w:p w:rsidR="00467573" w:rsidRDefault="0046757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73" w:rsidRDefault="0041080C">
    <w:pPr>
      <w:pStyle w:val="Pta"/>
    </w:pPr>
    <w:r>
      <w:rPr>
        <w:noProof/>
        <w:lang w:eastAsia="sk-SK"/>
      </w:rPr>
      <mc:AlternateContent>
        <mc:Choice Requires="wpg">
          <w:drawing>
            <wp:anchor distT="0" distB="0" distL="114300" distR="114300" simplePos="0" relativeHeight="251656704" behindDoc="0" locked="1" layoutInCell="1" allowOverlap="0">
              <wp:simplePos x="0" y="0"/>
              <wp:positionH relativeFrom="column">
                <wp:posOffset>0</wp:posOffset>
              </wp:positionH>
              <wp:positionV relativeFrom="page">
                <wp:posOffset>9757410</wp:posOffset>
              </wp:positionV>
              <wp:extent cx="6120130" cy="760730"/>
              <wp:effectExtent l="0" t="0" r="13970" b="127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760730"/>
                        <a:chOff x="1134" y="15364"/>
                        <a:chExt cx="9638" cy="1198"/>
                      </a:xfrm>
                    </wpg:grpSpPr>
                    <wps:wsp>
                      <wps:cNvPr id="3" name="AutoShape 8"/>
                      <wps:cNvCnPr>
                        <a:cxnSpLocks noChangeShapeType="1"/>
                      </wps:cNvCnPr>
                      <wps:spPr bwMode="auto">
                        <a:xfrm>
                          <a:off x="1134" y="15364"/>
                          <a:ext cx="963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41A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588" y="15536"/>
                          <a:ext cx="8622" cy="1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41A28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573" w:rsidRPr="00395BD3" w:rsidRDefault="00467573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kern w:val="14"/>
                                <w:sz w:val="14"/>
                                <w:szCs w:val="14"/>
                              </w:rPr>
                              <w:t>Stredoslovenská energetika − Distribúcia, a. s.,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Pri Rajčianke 2927/8, 010 47 Žilina, tel.: +421 41 519 1111, fax: +421 41 519 2575</w:t>
                            </w:r>
                          </w:p>
                          <w:p w:rsidR="00467573" w:rsidRPr="00395BD3" w:rsidRDefault="00467573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IČO: 36 442 151, IČ DPH: SK2022187453, DIČ: 2022187453, </w:t>
                            </w:r>
                            <w:r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>IBAN: SK44 0200 0000 0021 4355 0551,</w:t>
                            </w: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 BIC: SUBASKBX</w:t>
                            </w:r>
                          </w:p>
                          <w:p w:rsidR="00467573" w:rsidRPr="00395BD3" w:rsidRDefault="00467573" w:rsidP="00211EB4">
                            <w:pPr>
                              <w:spacing w:line="200" w:lineRule="exact"/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</w:pPr>
                            <w:r w:rsidRPr="00395BD3">
                              <w:rPr>
                                <w:rFonts w:cs="Arial"/>
                                <w:kern w:val="14"/>
                                <w:sz w:val="14"/>
                                <w:szCs w:val="14"/>
                              </w:rPr>
                              <w:t xml:space="preserve">Stredoslovenská energetika − Distribúcia, a. s., je zapísaná v Obchodnom registri Okresného súdu Žilina, Oddiel: Sa, Vložka číslo: 10514/L </w:t>
                            </w:r>
                          </w:p>
                          <w:p w:rsidR="00467573" w:rsidRPr="00454FF7" w:rsidRDefault="00467573" w:rsidP="00211EB4">
                            <w:pPr>
                              <w:spacing w:line="200" w:lineRule="exact"/>
                              <w:rPr>
                                <w:b/>
                                <w:color w:val="C41A28"/>
                              </w:rPr>
                            </w:pPr>
                            <w:r w:rsidRPr="00454FF7">
                              <w:rPr>
                                <w:rFonts w:cs="Arial"/>
                                <w:b/>
                                <w:color w:val="C41A28"/>
                                <w:kern w:val="14"/>
                                <w:sz w:val="14"/>
                                <w:szCs w:val="14"/>
                              </w:rPr>
                              <w:t>www.sse-d.sk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  <wps:wsp>
                      <wps:cNvPr id="5" name="Rectangle 10"/>
                      <wps:cNvSpPr>
                        <a:spLocks noChangeArrowheads="1"/>
                      </wps:cNvSpPr>
                      <wps:spPr bwMode="auto">
                        <a:xfrm>
                          <a:off x="1418" y="15593"/>
                          <a:ext cx="96" cy="96"/>
                        </a:xfrm>
                        <a:prstGeom prst="rect">
                          <a:avLst/>
                        </a:prstGeom>
                        <a:solidFill>
                          <a:srgbClr val="24408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30" style="position:absolute;left:0;text-align:left;margin-left:0;margin-top:768.3pt;width:481.9pt;height:59.9pt;z-index:251656704;mso-position-vertical-relative:page" coordorigin="1134,15364" coordsize="9638,1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" o:allowoverlap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31" type="#_x0000_t32" style="position:absolute;left:1134;top:15364;width:96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fZF08UAAADaAAAADwAAAGRycy9kb3ducmV2LnhtbESPX0vDQBDE3wW/w7FCX6S92GIpsdfS&#10;CqU+Kf0rvi25NYnm9kJum8Rv7wlCH4eZ+Q0zX/auUi01ofRs4GGUgCLOvC05N3A8bIYzUEGQLVae&#10;ycAPBVgubm/mmFrf8Y7aveQqQjikaKAQqVOtQ1aQwzDyNXH0Pn3jUKJscm0b7CLcVXqcJFPtsOS4&#10;UGBNzwVl3/uLM/Dx1R1FZv395PGtPSXrars5v74bM7jrV0+ghHq5hv/bL9bABP6uxBu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fZF08UAAADaAAAADwAAAAAAAAAA&#10;AAAAAAChAgAAZHJzL2Rvd25yZXYueG1sUEsFBgAAAAAEAAQA+QAAAJMDAAAAAA==&#10;" strokecolor="#c41a28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1588;top:15536;width:8622;height:1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prsQA&#10;AADaAAAADwAAAGRycy9kb3ducmV2LnhtbESPS2vDMBCE74H+B7GB3Bo5j6bGsRJKSCHQXhIHmuNi&#10;rR+ttTKWarv/vioUchxm5hsm3Y+mET11rrasYDGPQBDnVtdcKrhmr48xCOeRNTaWScEPOdjvHiYp&#10;JtoOfKb+4ksRIOwSVFB53yZSurwig25uW+LgFbYz6IPsSqk7HALcNHIZRRtpsOawUGFLh4ryr8u3&#10;UTDGq9v75/Dcc/8WZ1l5XD0V/kOp2XR82YLwNPp7+L990grW8Hcl3A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R6a7EAAAA2gAAAA8AAAAAAAAAAAAAAAAAmAIAAGRycy9k&#10;b3ducmV2LnhtbFBLBQYAAAAABAAEAPUAAACJAwAAAAA=&#10;" filled="f" stroked="f" strokecolor="#c41a28">
                <v:textbox inset="0,0,0,0">
                  <w:txbxContent>
                    <w:p w:rsidR="00467573" w:rsidRPr="00395BD3" w:rsidRDefault="00467573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454FF7">
                        <w:rPr>
                          <w:rFonts w:cs="Arial"/>
                          <w:b/>
                          <w:kern w:val="14"/>
                          <w:sz w:val="14"/>
                          <w:szCs w:val="14"/>
                        </w:rPr>
                        <w:t>Stredoslovenská energetika − Distribúcia, a. s.,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Pri Rajčianke 2927/8, 010 47 Žilina, tel.: +421 41 519 1111, fax: +421 41 519 2575</w:t>
                      </w:r>
                    </w:p>
                    <w:p w:rsidR="00467573" w:rsidRPr="00395BD3" w:rsidRDefault="00467573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IČO: 36 442 151, IČ DPH: SK2022187453, DIČ: 2022187453, </w:t>
                      </w:r>
                      <w:r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>IBAN: SK44 0200 0000 0021 4355 0551,</w:t>
                      </w: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 BIC: SUBASKBX</w:t>
                      </w:r>
                    </w:p>
                    <w:p w:rsidR="00467573" w:rsidRPr="00395BD3" w:rsidRDefault="00467573" w:rsidP="00211EB4">
                      <w:pPr>
                        <w:spacing w:line="200" w:lineRule="exact"/>
                        <w:rPr>
                          <w:rFonts w:cs="Arial"/>
                          <w:kern w:val="14"/>
                          <w:sz w:val="14"/>
                          <w:szCs w:val="14"/>
                        </w:rPr>
                      </w:pPr>
                      <w:r w:rsidRPr="00395BD3">
                        <w:rPr>
                          <w:rFonts w:cs="Arial"/>
                          <w:kern w:val="14"/>
                          <w:sz w:val="14"/>
                          <w:szCs w:val="14"/>
                        </w:rPr>
                        <w:t xml:space="preserve">Stredoslovenská energetika − Distribúcia, a. s., je zapísaná v Obchodnom registri Okresného súdu Žilina, Oddiel: Sa, Vložka číslo: 10514/L </w:t>
                      </w:r>
                    </w:p>
                    <w:p w:rsidR="00467573" w:rsidRPr="00454FF7" w:rsidRDefault="00467573" w:rsidP="00211EB4">
                      <w:pPr>
                        <w:spacing w:line="200" w:lineRule="exact"/>
                        <w:rPr>
                          <w:b/>
                          <w:color w:val="C41A28"/>
                        </w:rPr>
                      </w:pPr>
                      <w:r w:rsidRPr="00454FF7">
                        <w:rPr>
                          <w:rFonts w:cs="Arial"/>
                          <w:b/>
                          <w:color w:val="C41A28"/>
                          <w:kern w:val="14"/>
                          <w:sz w:val="14"/>
                          <w:szCs w:val="14"/>
                        </w:rPr>
                        <w:t>www.sse-d.sk</w:t>
                      </w:r>
                    </w:p>
                  </w:txbxContent>
                </v:textbox>
              </v:shape>
              <v:rect id="Rectangle 10" o:spid="_x0000_s1033" style="position:absolute;left:1418;top:15593;width:96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t8sQA&#10;AADaAAAADwAAAGRycy9kb3ducmV2LnhtbESPT2vCQBTE74LfYXlCL6VuLChtdBURQv94MlXE2yP7&#10;moRm34bdjUm/fVcoeBxm5jfMajOYRlzJ+dqygtk0AUFcWF1zqeD4lT29gPABWWNjmRT8kofNejxa&#10;Yaptzwe65qEUEcI+RQVVCG0qpS8qMuintiWO3rd1BkOUrpTaYR/hppHPSbKQBmuOCxW2tKuo+Mk7&#10;o2DhP4755+Orx+3bcML9eZ51/UWph8mwXYIINIR7+L/9rhXM4XYl3g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8rfLEAAAA2gAAAA8AAAAAAAAAAAAAAAAAmAIAAGRycy9k&#10;b3ducmV2LnhtbFBLBQYAAAAABAAEAPUAAACJAwAAAAA=&#10;" fillcolor="#244086" stroked="f"/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CCA" w:rsidRDefault="00E36CCA" w:rsidP="00E13779">
      <w:r>
        <w:separator/>
      </w:r>
    </w:p>
  </w:footnote>
  <w:footnote w:type="continuationSeparator" w:id="0">
    <w:p w:rsidR="00E36CCA" w:rsidRDefault="00E36CCA" w:rsidP="00E1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73" w:rsidRDefault="0041080C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1" layoutInCell="1" allowOverlap="0">
          <wp:simplePos x="0" y="0"/>
          <wp:positionH relativeFrom="page">
            <wp:posOffset>650240</wp:posOffset>
          </wp:positionH>
          <wp:positionV relativeFrom="margin">
            <wp:posOffset>-756285</wp:posOffset>
          </wp:positionV>
          <wp:extent cx="1112520" cy="572770"/>
          <wp:effectExtent l="0" t="0" r="0" b="0"/>
          <wp:wrapNone/>
          <wp:docPr id="2" name="Obrázok 0" descr="SSE-Distribucia--klas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0" descr="SSE-Distribucia--klas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2340"/>
    <w:multiLevelType w:val="hybridMultilevel"/>
    <w:tmpl w:val="CEC0487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8A"/>
    <w:rsid w:val="0003454F"/>
    <w:rsid w:val="000A308A"/>
    <w:rsid w:val="00123C53"/>
    <w:rsid w:val="00146FA5"/>
    <w:rsid w:val="00152EC7"/>
    <w:rsid w:val="00211EB4"/>
    <w:rsid w:val="0026308F"/>
    <w:rsid w:val="00276839"/>
    <w:rsid w:val="002B18A2"/>
    <w:rsid w:val="00305FA8"/>
    <w:rsid w:val="0036442D"/>
    <w:rsid w:val="00364E79"/>
    <w:rsid w:val="0038427F"/>
    <w:rsid w:val="00395BD3"/>
    <w:rsid w:val="003B76A1"/>
    <w:rsid w:val="003E0CB0"/>
    <w:rsid w:val="003F5DA6"/>
    <w:rsid w:val="0041080C"/>
    <w:rsid w:val="00454FF7"/>
    <w:rsid w:val="00457E3C"/>
    <w:rsid w:val="00467573"/>
    <w:rsid w:val="00495954"/>
    <w:rsid w:val="004D304A"/>
    <w:rsid w:val="00544EE1"/>
    <w:rsid w:val="0058092E"/>
    <w:rsid w:val="005D2066"/>
    <w:rsid w:val="00666E0D"/>
    <w:rsid w:val="006A5C21"/>
    <w:rsid w:val="00706E49"/>
    <w:rsid w:val="00720814"/>
    <w:rsid w:val="00782040"/>
    <w:rsid w:val="00832C79"/>
    <w:rsid w:val="00897D92"/>
    <w:rsid w:val="00967954"/>
    <w:rsid w:val="00992864"/>
    <w:rsid w:val="00A0326A"/>
    <w:rsid w:val="00AF20EC"/>
    <w:rsid w:val="00B06F0D"/>
    <w:rsid w:val="00B23293"/>
    <w:rsid w:val="00B51947"/>
    <w:rsid w:val="00BD0B52"/>
    <w:rsid w:val="00CE7EE5"/>
    <w:rsid w:val="00D12F20"/>
    <w:rsid w:val="00D828A8"/>
    <w:rsid w:val="00D9512D"/>
    <w:rsid w:val="00E0230D"/>
    <w:rsid w:val="00E13779"/>
    <w:rsid w:val="00E36CCA"/>
    <w:rsid w:val="00E50AE4"/>
    <w:rsid w:val="00FC0E51"/>
    <w:rsid w:val="00F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3B76A1"/>
    <w:rPr>
      <w:rFonts w:ascii="Times New Roman" w:hAnsi="Times New Roman" w:cs="Times New Roman"/>
      <w:color w:val="0000FF"/>
      <w:u w:val="single"/>
    </w:rPr>
  </w:style>
  <w:style w:type="table" w:styleId="Mriekatabuky">
    <w:name w:val="Table Grid"/>
    <w:basedOn w:val="Normlnatabuka"/>
    <w:uiPriority w:val="99"/>
    <w:locked/>
    <w:rsid w:val="003B76A1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18A2"/>
    <w:pPr>
      <w:jc w:val="both"/>
    </w:pPr>
    <w:rPr>
      <w:rFonts w:ascii="Arial" w:hAnsi="Arial"/>
      <w:kern w:val="20"/>
      <w:sz w:val="20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B18A2"/>
    <w:pPr>
      <w:keepNext/>
      <w:keepLines/>
      <w:spacing w:before="240"/>
      <w:jc w:val="left"/>
      <w:outlineLvl w:val="0"/>
    </w:pPr>
    <w:rPr>
      <w:rFonts w:eastAsia="Times New Roman"/>
      <w:b/>
      <w:bCs/>
      <w:color w:val="C41A28"/>
      <w:sz w:val="24"/>
      <w:szCs w:val="28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B18A2"/>
    <w:pPr>
      <w:keepNext/>
      <w:keepLines/>
      <w:spacing w:before="200"/>
      <w:outlineLvl w:val="1"/>
    </w:pPr>
    <w:rPr>
      <w:rFonts w:eastAsia="Times New Roman"/>
      <w:b/>
      <w:bCs/>
      <w:color w:val="000000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2B18A2"/>
    <w:rPr>
      <w:rFonts w:ascii="Arial" w:hAnsi="Arial" w:cs="Times New Roman"/>
      <w:b/>
      <w:bCs/>
      <w:color w:val="C41A28"/>
      <w:kern w:val="2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2B18A2"/>
    <w:rPr>
      <w:rFonts w:ascii="Arial" w:hAnsi="Arial" w:cs="Times New Roman"/>
      <w:b/>
      <w:bCs/>
      <w:color w:val="000000"/>
      <w:kern w:val="20"/>
      <w:sz w:val="26"/>
      <w:szCs w:val="26"/>
    </w:rPr>
  </w:style>
  <w:style w:type="paragraph" w:styleId="Hlavika">
    <w:name w:val="header"/>
    <w:basedOn w:val="Normlny"/>
    <w:link w:val="Hlavik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E13779"/>
    <w:rPr>
      <w:rFonts w:cs="Times New Roman"/>
    </w:rPr>
  </w:style>
  <w:style w:type="paragraph" w:styleId="Pta">
    <w:name w:val="footer"/>
    <w:basedOn w:val="Normlny"/>
    <w:link w:val="PtaChar"/>
    <w:uiPriority w:val="99"/>
    <w:semiHidden/>
    <w:rsid w:val="00E137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E1377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E137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77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3B76A1"/>
    <w:rPr>
      <w:rFonts w:ascii="Times New Roman" w:hAnsi="Times New Roman" w:cs="Times New Roman"/>
      <w:color w:val="0000FF"/>
      <w:u w:val="single"/>
    </w:rPr>
  </w:style>
  <w:style w:type="table" w:styleId="Mriekatabuky">
    <w:name w:val="Table Grid"/>
    <w:basedOn w:val="Normlnatabuka"/>
    <w:uiPriority w:val="99"/>
    <w:locked/>
    <w:rsid w:val="003B76A1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-d.sk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se.sk/portal/page/portal/SSE_Distribucia/Spravy/dokumenty_na_stiahnutie/20150414%20SSE_D_Obchodne_podmienky_OVS_doplnene_VOP_nakup_tovaru_0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sabela@sse-d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953\AppData\Local\Microsoft\Windows\Temporary%20Internet%20Files\Content.IE5\2F9SKGM0\Hl-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Hl-papier</Template>
  <TotalTime>0</TotalTime>
  <Pages>3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Bolibruchova</dc:creator>
  <cp:lastModifiedBy>Lucia Alaksova Bc.</cp:lastModifiedBy>
  <cp:revision>2</cp:revision>
  <dcterms:created xsi:type="dcterms:W3CDTF">2016-04-07T12:44:00Z</dcterms:created>
  <dcterms:modified xsi:type="dcterms:W3CDTF">2016-04-07T12:44:00Z</dcterms:modified>
</cp:coreProperties>
</file>